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44"/>
          <w:lang w:eastAsia="zh-CN"/>
        </w:rPr>
      </w:pPr>
      <w:r>
        <w:rPr>
          <w:rFonts w:hint="eastAsia"/>
          <w:sz w:val="36"/>
          <w:szCs w:val="44"/>
          <w:lang w:eastAsia="zh-CN"/>
        </w:rPr>
        <w:t>关于已为青年律师发放薪酬的情况说明</w:t>
      </w:r>
    </w:p>
    <w:p>
      <w:pPr>
        <w:jc w:val="center"/>
        <w:rPr>
          <w:rFonts w:hint="eastAsia"/>
          <w:sz w:val="36"/>
          <w:szCs w:val="44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潍坊市律师协会：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我所现有执业不满3年且年龄35周岁（含35周岁）以内的专职律师XX名，分别是：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XX律师，出生年月：            执业证号：           ；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XX律师，出生年月：            执业证号：           ；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XX律师，出生年月：            执业证号：           ；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所已经按照《对潍坊市青年律师“助推提升、引领发展”的实施办法（实行）》的有关规定为以上人员发放了不低于潍坊市最低工资标准的薪酬。如情况说明不实，自愿依照《律师协会会员违规行为处分规则（试行）》第三十八条的规定接受处分。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特此说明。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山东XX律师事务所（公章）</w:t>
      </w:r>
    </w:p>
    <w:p>
      <w:p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年 月  日</w:t>
      </w:r>
    </w:p>
    <w:p>
      <w:bookmarkStart w:id="0" w:name="_GoBack"/>
      <w:bookmarkEnd w:id="0"/>
    </w:p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A46989"/>
    <w:rsid w:val="09A4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2019-10-31T07:19:00Z</dcterms:created>
  <dc:creator>zz</dc:creator>
  <cp:lastModifiedBy>zz</cp:lastModifiedBy>
  <dcterms:modified xsi:type="dcterms:W3CDTF">2019-10-31T07:19:26Z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